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099" w:rsidRPr="008D3AF9" w:rsidRDefault="00F73099" w:rsidP="00BB3FE5">
      <w:pPr>
        <w:widowControl/>
        <w:jc w:val="center"/>
        <w:rPr>
          <w:rFonts w:ascii="黑体" w:eastAsia="黑体" w:hAnsi="黑体"/>
          <w:sz w:val="32"/>
          <w:szCs w:val="32"/>
        </w:rPr>
      </w:pPr>
      <w:r w:rsidRPr="008D3AF9">
        <w:rPr>
          <w:rFonts w:ascii="黑体" w:eastAsia="黑体" w:hAnsi="黑体" w:hint="eastAsia"/>
          <w:b/>
          <w:sz w:val="32"/>
          <w:szCs w:val="32"/>
        </w:rPr>
        <w:t>北京大学艺术学院</w:t>
      </w:r>
      <w:r w:rsidRPr="008D3AF9">
        <w:rPr>
          <w:rFonts w:ascii="黑体" w:eastAsia="黑体" w:hAnsi="黑体"/>
          <w:b/>
          <w:sz w:val="32"/>
          <w:szCs w:val="32"/>
        </w:rPr>
        <w:t>2021</w:t>
      </w:r>
      <w:r w:rsidRPr="008D3AF9">
        <w:rPr>
          <w:rFonts w:ascii="黑体" w:eastAsia="黑体" w:hAnsi="黑体" w:hint="eastAsia"/>
          <w:b/>
          <w:sz w:val="32"/>
          <w:szCs w:val="32"/>
        </w:rPr>
        <w:t>年硕士研究生调剂申请书</w:t>
      </w:r>
    </w:p>
    <w:tbl>
      <w:tblPr>
        <w:tblpPr w:leftFromText="180" w:rightFromText="180" w:vertAnchor="text" w:horzAnchor="margin" w:tblpY="329"/>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974"/>
        <w:gridCol w:w="610"/>
        <w:gridCol w:w="1015"/>
        <w:gridCol w:w="604"/>
        <w:gridCol w:w="1489"/>
        <w:gridCol w:w="153"/>
        <w:gridCol w:w="1961"/>
      </w:tblGrid>
      <w:tr w:rsidR="00F73099" w:rsidRPr="008D3AF9" w:rsidTr="00E810FC">
        <w:trPr>
          <w:trHeight w:val="725"/>
        </w:trPr>
        <w:tc>
          <w:tcPr>
            <w:tcW w:w="2560"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考生姓名</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Pr>
                <w:rFonts w:ascii="黑体" w:eastAsia="黑体" w:hAnsi="黑体" w:cs="Times New Roman" w:hint="eastAsia"/>
                <w:sz w:val="24"/>
                <w:szCs w:val="24"/>
              </w:rPr>
              <w:t>准考证号</w:t>
            </w:r>
          </w:p>
        </w:tc>
        <w:tc>
          <w:tcPr>
            <w:tcW w:w="2113" w:type="dxa"/>
            <w:gridSpan w:val="2"/>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r>
      <w:tr w:rsidR="00F73099" w:rsidRPr="008D3AF9" w:rsidTr="00E810FC">
        <w:trPr>
          <w:trHeight w:val="785"/>
        </w:trPr>
        <w:tc>
          <w:tcPr>
            <w:tcW w:w="2560"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第一志愿报考专业</w:t>
            </w:r>
          </w:p>
        </w:tc>
        <w:tc>
          <w:tcPr>
            <w:tcW w:w="5832" w:type="dxa"/>
            <w:gridSpan w:val="6"/>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 xml:space="preserve">□ 电影 </w:t>
            </w:r>
            <w:r w:rsidRPr="008D3AF9">
              <w:rPr>
                <w:rFonts w:ascii="黑体" w:eastAsia="黑体" w:hAnsi="黑体" w:cs="Times New Roman"/>
                <w:sz w:val="24"/>
                <w:szCs w:val="24"/>
              </w:rPr>
              <w:t xml:space="preserve">     </w:t>
            </w:r>
            <w:r w:rsidRPr="008D3AF9">
              <w:rPr>
                <w:rFonts w:ascii="黑体" w:eastAsia="黑体" w:hAnsi="黑体" w:cs="Times New Roman" w:hint="eastAsia"/>
                <w:sz w:val="24"/>
                <w:szCs w:val="24"/>
              </w:rPr>
              <w:t xml:space="preserve"> □ 音乐    □ 广播电视</w:t>
            </w:r>
          </w:p>
        </w:tc>
      </w:tr>
      <w:tr w:rsidR="00F73099" w:rsidRPr="008D3AF9" w:rsidTr="00E810FC">
        <w:trPr>
          <w:trHeight w:val="601"/>
        </w:trPr>
        <w:tc>
          <w:tcPr>
            <w:tcW w:w="2560"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调剂意愿</w:t>
            </w:r>
          </w:p>
        </w:tc>
        <w:tc>
          <w:tcPr>
            <w:tcW w:w="5832" w:type="dxa"/>
            <w:gridSpan w:val="6"/>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sz w:val="24"/>
                <w:szCs w:val="24"/>
              </w:rPr>
              <w:sym w:font="Wingdings 2" w:char="F0A3"/>
            </w:r>
            <w:r w:rsidRPr="008D3AF9">
              <w:rPr>
                <w:rFonts w:ascii="黑体" w:eastAsia="黑体" w:hAnsi="黑体" w:cs="Times New Roman" w:hint="eastAsia"/>
                <w:sz w:val="24"/>
                <w:szCs w:val="24"/>
              </w:rPr>
              <w:t xml:space="preserve"> 同意调剂相同专业非全日制，且报考类别为定向</w:t>
            </w:r>
          </w:p>
        </w:tc>
      </w:tr>
      <w:tr w:rsidR="00F73099" w:rsidRPr="008D3AF9" w:rsidTr="00E810FC">
        <w:trPr>
          <w:trHeight w:val="590"/>
        </w:trPr>
        <w:tc>
          <w:tcPr>
            <w:tcW w:w="2560"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承诺报到</w:t>
            </w:r>
          </w:p>
        </w:tc>
        <w:tc>
          <w:tcPr>
            <w:tcW w:w="5832" w:type="dxa"/>
            <w:gridSpan w:val="6"/>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ind w:firstLineChars="100" w:firstLine="240"/>
              <w:rPr>
                <w:rFonts w:ascii="黑体" w:eastAsia="黑体" w:hAnsi="黑体" w:cs="Times New Roman"/>
                <w:sz w:val="24"/>
                <w:szCs w:val="24"/>
              </w:rPr>
            </w:pPr>
            <w:r w:rsidRPr="008D3AF9">
              <w:rPr>
                <w:rFonts w:ascii="黑体" w:eastAsia="黑体" w:hAnsi="黑体" w:cs="Times New Roman" w:hint="eastAsia"/>
                <w:sz w:val="24"/>
                <w:szCs w:val="24"/>
              </w:rPr>
              <w:t>□ 承诺拟录取后会报到学习</w:t>
            </w:r>
          </w:p>
        </w:tc>
      </w:tr>
      <w:tr w:rsidR="00F73099" w:rsidRPr="008D3AF9" w:rsidTr="00E810FC">
        <w:trPr>
          <w:trHeight w:val="543"/>
        </w:trPr>
        <w:tc>
          <w:tcPr>
            <w:tcW w:w="8392" w:type="dxa"/>
            <w:gridSpan w:val="8"/>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研究生入学统一考试成绩</w:t>
            </w:r>
          </w:p>
        </w:tc>
      </w:tr>
      <w:tr w:rsidR="00F73099" w:rsidRPr="008D3AF9" w:rsidTr="00E810FC">
        <w:trPr>
          <w:trHeight w:val="678"/>
        </w:trPr>
        <w:tc>
          <w:tcPr>
            <w:tcW w:w="1586" w:type="dxa"/>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政治</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外语</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专业</w:t>
            </w:r>
            <w:proofErr w:type="gramStart"/>
            <w:r w:rsidRPr="008D3AF9">
              <w:rPr>
                <w:rFonts w:ascii="黑体" w:eastAsia="黑体" w:hAnsi="黑体" w:cs="Times New Roman" w:hint="eastAsia"/>
                <w:sz w:val="24"/>
                <w:szCs w:val="24"/>
              </w:rPr>
              <w:t>一</w:t>
            </w:r>
            <w:proofErr w:type="gramEnd"/>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专业二</w:t>
            </w:r>
          </w:p>
        </w:tc>
        <w:tc>
          <w:tcPr>
            <w:tcW w:w="1960" w:type="dxa"/>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sz w:val="24"/>
                <w:szCs w:val="24"/>
              </w:rPr>
            </w:pPr>
            <w:r w:rsidRPr="008D3AF9">
              <w:rPr>
                <w:rFonts w:ascii="黑体" w:eastAsia="黑体" w:hAnsi="黑体" w:cs="Times New Roman" w:hint="eastAsia"/>
                <w:sz w:val="24"/>
                <w:szCs w:val="24"/>
              </w:rPr>
              <w:t>总分</w:t>
            </w:r>
          </w:p>
        </w:tc>
      </w:tr>
      <w:tr w:rsidR="00F73099" w:rsidRPr="008D3AF9" w:rsidTr="00E810FC">
        <w:trPr>
          <w:trHeight w:val="485"/>
        </w:trPr>
        <w:tc>
          <w:tcPr>
            <w:tcW w:w="1586" w:type="dxa"/>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r>
      <w:tr w:rsidR="00F73099" w:rsidRPr="008D3AF9" w:rsidTr="00E810FC">
        <w:trPr>
          <w:trHeight w:val="618"/>
        </w:trPr>
        <w:tc>
          <w:tcPr>
            <w:tcW w:w="2560"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bCs/>
                <w:sz w:val="24"/>
                <w:szCs w:val="24"/>
              </w:rPr>
            </w:pPr>
            <w:r w:rsidRPr="008D3AF9">
              <w:rPr>
                <w:rFonts w:ascii="黑体" w:eastAsia="黑体" w:hAnsi="黑体" w:cs="Times New Roman" w:hint="eastAsia"/>
                <w:bCs/>
                <w:sz w:val="24"/>
                <w:szCs w:val="24"/>
              </w:rPr>
              <w:t>本科毕业年月</w:t>
            </w:r>
          </w:p>
        </w:tc>
        <w:tc>
          <w:tcPr>
            <w:tcW w:w="5832" w:type="dxa"/>
            <w:gridSpan w:val="6"/>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r>
      <w:tr w:rsidR="00F73099" w:rsidRPr="008D3AF9" w:rsidTr="00E810FC">
        <w:trPr>
          <w:trHeight w:val="768"/>
        </w:trPr>
        <w:tc>
          <w:tcPr>
            <w:tcW w:w="2560" w:type="dxa"/>
            <w:gridSpan w:val="2"/>
            <w:tcBorders>
              <w:top w:val="single" w:sz="4" w:space="0" w:color="auto"/>
              <w:left w:val="single" w:sz="4" w:space="0" w:color="auto"/>
              <w:bottom w:val="single" w:sz="4" w:space="0" w:color="auto"/>
              <w:right w:val="single" w:sz="4" w:space="0" w:color="auto"/>
            </w:tcBorders>
            <w:vAlign w:val="center"/>
            <w:hideMark/>
          </w:tcPr>
          <w:p w:rsidR="00F73099" w:rsidRPr="008D3AF9" w:rsidRDefault="00F73099" w:rsidP="008214B8">
            <w:pPr>
              <w:jc w:val="center"/>
              <w:rPr>
                <w:rFonts w:ascii="黑体" w:eastAsia="黑体" w:hAnsi="黑体" w:cs="Times New Roman"/>
                <w:bCs/>
                <w:sz w:val="24"/>
                <w:szCs w:val="24"/>
              </w:rPr>
            </w:pPr>
            <w:r w:rsidRPr="008D3AF9">
              <w:rPr>
                <w:rFonts w:ascii="黑体" w:eastAsia="黑体" w:hAnsi="黑体" w:cs="Times New Roman" w:hint="eastAsia"/>
                <w:bCs/>
                <w:sz w:val="24"/>
                <w:szCs w:val="24"/>
              </w:rPr>
              <w:t>本科毕业院校、</w:t>
            </w:r>
          </w:p>
          <w:p w:rsidR="00F73099" w:rsidRPr="008D3AF9" w:rsidRDefault="00F73099" w:rsidP="008214B8">
            <w:pPr>
              <w:jc w:val="center"/>
              <w:rPr>
                <w:rFonts w:ascii="黑体" w:eastAsia="黑体" w:hAnsi="黑体" w:cs="Times New Roman"/>
                <w:bCs/>
                <w:sz w:val="24"/>
                <w:szCs w:val="24"/>
              </w:rPr>
            </w:pPr>
            <w:r w:rsidRPr="008D3AF9">
              <w:rPr>
                <w:rFonts w:ascii="黑体" w:eastAsia="黑体" w:hAnsi="黑体" w:cs="Times New Roman" w:hint="eastAsia"/>
                <w:bCs/>
                <w:sz w:val="24"/>
                <w:szCs w:val="24"/>
              </w:rPr>
              <w:t>毕业专业</w:t>
            </w:r>
          </w:p>
        </w:tc>
        <w:tc>
          <w:tcPr>
            <w:tcW w:w="5832" w:type="dxa"/>
            <w:gridSpan w:val="6"/>
            <w:tcBorders>
              <w:top w:val="single" w:sz="4" w:space="0" w:color="auto"/>
              <w:left w:val="single" w:sz="4" w:space="0" w:color="auto"/>
              <w:bottom w:val="single" w:sz="4" w:space="0" w:color="auto"/>
              <w:right w:val="single" w:sz="4" w:space="0" w:color="auto"/>
            </w:tcBorders>
            <w:vAlign w:val="center"/>
          </w:tcPr>
          <w:p w:rsidR="00F73099" w:rsidRPr="008D3AF9" w:rsidRDefault="00F73099" w:rsidP="008214B8">
            <w:pPr>
              <w:jc w:val="center"/>
              <w:rPr>
                <w:rFonts w:ascii="黑体" w:eastAsia="黑体" w:hAnsi="黑体" w:cs="Times New Roman"/>
                <w:sz w:val="24"/>
                <w:szCs w:val="24"/>
              </w:rPr>
            </w:pPr>
          </w:p>
        </w:tc>
      </w:tr>
      <w:tr w:rsidR="00F73099" w:rsidRPr="008D3AF9" w:rsidTr="00E810FC">
        <w:trPr>
          <w:trHeight w:val="2812"/>
        </w:trPr>
        <w:tc>
          <w:tcPr>
            <w:tcW w:w="8392" w:type="dxa"/>
            <w:gridSpan w:val="8"/>
            <w:tcBorders>
              <w:top w:val="single" w:sz="4" w:space="0" w:color="auto"/>
              <w:left w:val="single" w:sz="4" w:space="0" w:color="auto"/>
              <w:bottom w:val="single" w:sz="4" w:space="0" w:color="auto"/>
              <w:right w:val="single" w:sz="4" w:space="0" w:color="auto"/>
            </w:tcBorders>
            <w:tcMar>
              <w:top w:w="283" w:type="dxa"/>
              <w:left w:w="283" w:type="dxa"/>
              <w:bottom w:w="283" w:type="dxa"/>
              <w:right w:w="283" w:type="dxa"/>
            </w:tcMar>
            <w:vAlign w:val="center"/>
          </w:tcPr>
          <w:p w:rsidR="00F73099" w:rsidRPr="008D3AF9" w:rsidRDefault="00F73099" w:rsidP="008214B8">
            <w:pPr>
              <w:spacing w:line="312" w:lineRule="auto"/>
              <w:ind w:firstLine="435"/>
              <w:jc w:val="left"/>
              <w:rPr>
                <w:rFonts w:ascii="黑体" w:eastAsia="黑体" w:hAnsi="黑体" w:cs="Times New Roman"/>
                <w:bCs/>
                <w:sz w:val="24"/>
                <w:szCs w:val="24"/>
              </w:rPr>
            </w:pPr>
            <w:r w:rsidRPr="008D3AF9">
              <w:rPr>
                <w:rFonts w:ascii="黑体" w:eastAsia="黑体" w:hAnsi="黑体" w:cs="Times New Roman"/>
                <w:bCs/>
                <w:sz w:val="24"/>
                <w:szCs w:val="24"/>
              </w:rPr>
              <w:t>2021</w:t>
            </w:r>
            <w:r w:rsidRPr="008D3AF9">
              <w:rPr>
                <w:rFonts w:ascii="黑体" w:eastAsia="黑体" w:hAnsi="黑体" w:cs="Times New Roman" w:hint="eastAsia"/>
                <w:bCs/>
                <w:sz w:val="24"/>
                <w:szCs w:val="24"/>
              </w:rPr>
              <w:t>年我校专业艺术硕士研究生的培养方式分为全日制与非全日制两种，全日制学费为</w:t>
            </w:r>
            <w:r w:rsidRPr="008D3AF9">
              <w:rPr>
                <w:rFonts w:ascii="黑体" w:eastAsia="黑体" w:hAnsi="黑体" w:cs="Times New Roman"/>
                <w:bCs/>
                <w:sz w:val="24"/>
                <w:szCs w:val="24"/>
              </w:rPr>
              <w:t>30000</w:t>
            </w:r>
            <w:r w:rsidRPr="008D3AF9">
              <w:rPr>
                <w:rFonts w:ascii="黑体" w:eastAsia="黑体" w:hAnsi="黑体" w:cs="Times New Roman" w:hint="eastAsia"/>
                <w:bCs/>
                <w:sz w:val="24"/>
                <w:szCs w:val="24"/>
              </w:rPr>
              <w:t>元</w:t>
            </w:r>
            <w:r w:rsidRPr="008D3AF9">
              <w:rPr>
                <w:rFonts w:ascii="黑体" w:eastAsia="黑体" w:hAnsi="黑体" w:cs="Times New Roman"/>
                <w:bCs/>
                <w:sz w:val="24"/>
                <w:szCs w:val="24"/>
              </w:rPr>
              <w:t>/3</w:t>
            </w:r>
            <w:r w:rsidRPr="008D3AF9">
              <w:rPr>
                <w:rFonts w:ascii="黑体" w:eastAsia="黑体" w:hAnsi="黑体" w:cs="Times New Roman" w:hint="eastAsia"/>
                <w:bCs/>
                <w:sz w:val="24"/>
                <w:szCs w:val="24"/>
              </w:rPr>
              <w:t>年，非全日制学费为</w:t>
            </w:r>
            <w:r w:rsidRPr="008D3AF9">
              <w:rPr>
                <w:rFonts w:ascii="黑体" w:eastAsia="黑体" w:hAnsi="黑体" w:cs="Times New Roman"/>
                <w:bCs/>
                <w:sz w:val="24"/>
                <w:szCs w:val="24"/>
              </w:rPr>
              <w:t>100000</w:t>
            </w:r>
            <w:r w:rsidRPr="008D3AF9">
              <w:rPr>
                <w:rFonts w:ascii="黑体" w:eastAsia="黑体" w:hAnsi="黑体" w:cs="Times New Roman" w:hint="eastAsia"/>
                <w:bCs/>
                <w:sz w:val="24"/>
                <w:szCs w:val="24"/>
              </w:rPr>
              <w:t>元</w:t>
            </w:r>
            <w:r w:rsidRPr="008D3AF9">
              <w:rPr>
                <w:rFonts w:ascii="黑体" w:eastAsia="黑体" w:hAnsi="黑体" w:cs="Times New Roman"/>
                <w:bCs/>
                <w:sz w:val="24"/>
                <w:szCs w:val="24"/>
              </w:rPr>
              <w:t>/3</w:t>
            </w:r>
            <w:r w:rsidRPr="008D3AF9">
              <w:rPr>
                <w:rFonts w:ascii="黑体" w:eastAsia="黑体" w:hAnsi="黑体" w:cs="Times New Roman" w:hint="eastAsia"/>
                <w:bCs/>
                <w:sz w:val="24"/>
                <w:szCs w:val="24"/>
              </w:rPr>
              <w:t>年，根据教育部的培养规定与北京大学的研究生招生说明，非全日制硕士研究生原则上招收定向就业人员，报名时需以</w:t>
            </w:r>
            <w:r w:rsidRPr="008D3AF9">
              <w:rPr>
                <w:rFonts w:ascii="黑体" w:eastAsia="黑体" w:hAnsi="黑体" w:cs="Times New Roman"/>
                <w:bCs/>
                <w:sz w:val="24"/>
                <w:szCs w:val="24"/>
              </w:rPr>
              <w:t>“</w:t>
            </w:r>
            <w:r w:rsidRPr="008D3AF9">
              <w:rPr>
                <w:rFonts w:ascii="黑体" w:eastAsia="黑体" w:hAnsi="黑体" w:cs="Times New Roman" w:hint="eastAsia"/>
                <w:bCs/>
                <w:sz w:val="24"/>
                <w:szCs w:val="24"/>
              </w:rPr>
              <w:t>定向就业</w:t>
            </w:r>
            <w:r w:rsidRPr="008D3AF9">
              <w:rPr>
                <w:rFonts w:ascii="黑体" w:eastAsia="黑体" w:hAnsi="黑体" w:cs="Times New Roman"/>
                <w:bCs/>
                <w:sz w:val="24"/>
                <w:szCs w:val="24"/>
              </w:rPr>
              <w:t>”</w:t>
            </w:r>
            <w:r w:rsidRPr="008D3AF9">
              <w:rPr>
                <w:rFonts w:ascii="黑体" w:eastAsia="黑体" w:hAnsi="黑体" w:cs="Times New Roman" w:hint="eastAsia"/>
                <w:bCs/>
                <w:sz w:val="24"/>
                <w:szCs w:val="24"/>
              </w:rPr>
              <w:t>身份报考。按照教育部</w:t>
            </w:r>
            <w:r w:rsidRPr="008D3AF9">
              <w:rPr>
                <w:rFonts w:ascii="黑体" w:eastAsia="黑体" w:hAnsi="黑体" w:cs="Times New Roman"/>
                <w:bCs/>
                <w:sz w:val="24"/>
                <w:szCs w:val="24"/>
              </w:rPr>
              <w:t>2021</w:t>
            </w:r>
            <w:r w:rsidRPr="008D3AF9">
              <w:rPr>
                <w:rFonts w:ascii="黑体" w:eastAsia="黑体" w:hAnsi="黑体" w:cs="Times New Roman" w:hint="eastAsia"/>
                <w:bCs/>
                <w:sz w:val="24"/>
                <w:szCs w:val="24"/>
              </w:rPr>
              <w:t>年的相关规定，定向就业学生不进行户口转入，不安排住宿和就业派遣。请在充分了解招生和考试相关信息之后，做如下确认：</w:t>
            </w:r>
          </w:p>
          <w:p w:rsidR="00F73099" w:rsidRPr="008D3AF9" w:rsidRDefault="00F73099" w:rsidP="008214B8">
            <w:pPr>
              <w:spacing w:line="312" w:lineRule="auto"/>
              <w:ind w:firstLine="435"/>
              <w:jc w:val="left"/>
              <w:rPr>
                <w:rFonts w:ascii="黑体" w:eastAsia="黑体" w:hAnsi="黑体" w:cs="Times New Roman"/>
                <w:bCs/>
                <w:sz w:val="24"/>
                <w:szCs w:val="24"/>
              </w:rPr>
            </w:pPr>
          </w:p>
          <w:p w:rsidR="00F73099" w:rsidRPr="008D3AF9" w:rsidRDefault="00F73099" w:rsidP="008214B8">
            <w:pPr>
              <w:spacing w:line="312" w:lineRule="auto"/>
              <w:ind w:firstLine="435"/>
              <w:jc w:val="left"/>
              <w:rPr>
                <w:rFonts w:ascii="黑体" w:eastAsia="黑体" w:hAnsi="黑体" w:cs="Times New Roman"/>
                <w:bCs/>
                <w:sz w:val="24"/>
                <w:szCs w:val="24"/>
              </w:rPr>
            </w:pPr>
            <w:r w:rsidRPr="008D3AF9">
              <w:rPr>
                <w:rFonts w:ascii="黑体" w:eastAsia="黑体" w:hAnsi="黑体" w:cs="Times New Roman" w:hint="eastAsia"/>
                <w:bCs/>
                <w:sz w:val="24"/>
                <w:szCs w:val="24"/>
              </w:rPr>
              <w:t>本人承诺以上信息属实，并已清楚了解北京大学艺术学院各专业在招生简章中注明的有关于学费、培养方式、转档、就业派遣、提供住宿等方面的相关要求与规定，自愿申请调剂至相关专业。</w:t>
            </w:r>
          </w:p>
          <w:p w:rsidR="00F73099" w:rsidRPr="008D3AF9" w:rsidRDefault="00F73099" w:rsidP="008214B8">
            <w:pPr>
              <w:spacing w:line="312" w:lineRule="auto"/>
              <w:ind w:firstLine="435"/>
              <w:jc w:val="left"/>
              <w:rPr>
                <w:rFonts w:ascii="黑体" w:eastAsia="黑体" w:hAnsi="黑体" w:cs="Times New Roman"/>
                <w:bCs/>
                <w:sz w:val="24"/>
                <w:szCs w:val="24"/>
              </w:rPr>
            </w:pPr>
          </w:p>
          <w:p w:rsidR="00F73099" w:rsidRPr="008D3AF9" w:rsidRDefault="00F73099" w:rsidP="008214B8">
            <w:pPr>
              <w:wordWrap w:val="0"/>
              <w:spacing w:line="312" w:lineRule="auto"/>
              <w:ind w:firstLine="435"/>
              <w:jc w:val="right"/>
              <w:rPr>
                <w:rFonts w:ascii="黑体" w:eastAsia="黑体" w:hAnsi="黑体" w:cs="Times New Roman"/>
                <w:bCs/>
                <w:sz w:val="24"/>
                <w:szCs w:val="24"/>
              </w:rPr>
            </w:pPr>
            <w:r w:rsidRPr="008D3AF9">
              <w:rPr>
                <w:rFonts w:ascii="黑体" w:eastAsia="黑体" w:hAnsi="黑体" w:cs="Times New Roman"/>
                <w:bCs/>
                <w:sz w:val="24"/>
                <w:szCs w:val="24"/>
              </w:rPr>
              <w:t xml:space="preserve">                </w:t>
            </w:r>
            <w:r>
              <w:rPr>
                <w:rFonts w:ascii="黑体" w:eastAsia="黑体" w:hAnsi="黑体" w:cs="Times New Roman"/>
                <w:bCs/>
                <w:sz w:val="24"/>
                <w:szCs w:val="24"/>
              </w:rPr>
              <w:t xml:space="preserve">   </w:t>
            </w:r>
            <w:r w:rsidRPr="008D3AF9">
              <w:rPr>
                <w:rFonts w:ascii="黑体" w:eastAsia="黑体" w:hAnsi="黑体" w:cs="Times New Roman" w:hint="eastAsia"/>
                <w:bCs/>
                <w:sz w:val="24"/>
                <w:szCs w:val="24"/>
              </w:rPr>
              <w:t>本人签名：</w:t>
            </w:r>
            <w:r>
              <w:rPr>
                <w:rFonts w:ascii="黑体" w:eastAsia="黑体" w:hAnsi="黑体" w:cs="Times New Roman" w:hint="eastAsia"/>
                <w:bCs/>
                <w:sz w:val="24"/>
                <w:szCs w:val="24"/>
              </w:rPr>
              <w:t xml:space="preserve"> </w:t>
            </w:r>
            <w:r>
              <w:rPr>
                <w:rFonts w:ascii="黑体" w:eastAsia="黑体" w:hAnsi="黑体" w:cs="Times New Roman"/>
                <w:bCs/>
                <w:sz w:val="24"/>
                <w:szCs w:val="24"/>
              </w:rPr>
              <w:t xml:space="preserve">            </w:t>
            </w:r>
          </w:p>
          <w:p w:rsidR="00F73099" w:rsidRPr="008D3AF9" w:rsidRDefault="00F73099" w:rsidP="008214B8">
            <w:pPr>
              <w:spacing w:line="312" w:lineRule="auto"/>
              <w:ind w:firstLine="435"/>
              <w:jc w:val="right"/>
              <w:rPr>
                <w:rFonts w:ascii="黑体" w:eastAsia="黑体" w:hAnsi="黑体" w:cs="Times New Roman"/>
                <w:bCs/>
                <w:sz w:val="24"/>
                <w:szCs w:val="24"/>
              </w:rPr>
            </w:pPr>
            <w:r w:rsidRPr="008D3AF9">
              <w:rPr>
                <w:rFonts w:ascii="黑体" w:eastAsia="黑体" w:hAnsi="黑体" w:cs="Times New Roman"/>
                <w:bCs/>
                <w:sz w:val="24"/>
                <w:szCs w:val="24"/>
              </w:rPr>
              <w:t xml:space="preserve">                </w:t>
            </w:r>
            <w:r w:rsidRPr="008D3AF9">
              <w:rPr>
                <w:rFonts w:ascii="黑体" w:eastAsia="黑体" w:hAnsi="黑体" w:cs="Times New Roman" w:hint="eastAsia"/>
                <w:bCs/>
                <w:sz w:val="24"/>
                <w:szCs w:val="24"/>
              </w:rPr>
              <w:t>日期：</w:t>
            </w:r>
            <w:r>
              <w:rPr>
                <w:rFonts w:ascii="黑体" w:eastAsia="黑体" w:hAnsi="黑体" w:cs="Times New Roman" w:hint="eastAsia"/>
                <w:bCs/>
                <w:sz w:val="24"/>
                <w:szCs w:val="24"/>
              </w:rPr>
              <w:t>2</w:t>
            </w:r>
            <w:r>
              <w:rPr>
                <w:rFonts w:ascii="黑体" w:eastAsia="黑体" w:hAnsi="黑体" w:cs="Times New Roman"/>
                <w:bCs/>
                <w:sz w:val="24"/>
                <w:szCs w:val="24"/>
              </w:rPr>
              <w:t>021</w:t>
            </w:r>
            <w:r>
              <w:rPr>
                <w:rFonts w:ascii="黑体" w:eastAsia="黑体" w:hAnsi="黑体" w:cs="Times New Roman" w:hint="eastAsia"/>
                <w:bCs/>
                <w:sz w:val="24"/>
                <w:szCs w:val="24"/>
              </w:rPr>
              <w:t xml:space="preserve">年 </w:t>
            </w:r>
            <w:r>
              <w:rPr>
                <w:rFonts w:ascii="黑体" w:eastAsia="黑体" w:hAnsi="黑体" w:cs="Times New Roman"/>
                <w:bCs/>
                <w:sz w:val="24"/>
                <w:szCs w:val="24"/>
              </w:rPr>
              <w:t xml:space="preserve">  </w:t>
            </w:r>
            <w:r>
              <w:rPr>
                <w:rFonts w:ascii="黑体" w:eastAsia="黑体" w:hAnsi="黑体" w:cs="Times New Roman" w:hint="eastAsia"/>
                <w:bCs/>
                <w:sz w:val="24"/>
                <w:szCs w:val="24"/>
              </w:rPr>
              <w:t xml:space="preserve">月 </w:t>
            </w:r>
            <w:r>
              <w:rPr>
                <w:rFonts w:ascii="黑体" w:eastAsia="黑体" w:hAnsi="黑体" w:cs="Times New Roman"/>
                <w:bCs/>
                <w:sz w:val="24"/>
                <w:szCs w:val="24"/>
              </w:rPr>
              <w:t xml:space="preserve">  </w:t>
            </w:r>
            <w:r>
              <w:rPr>
                <w:rFonts w:ascii="黑体" w:eastAsia="黑体" w:hAnsi="黑体" w:cs="Times New Roman" w:hint="eastAsia"/>
                <w:bCs/>
                <w:sz w:val="24"/>
                <w:szCs w:val="24"/>
              </w:rPr>
              <w:t>日</w:t>
            </w:r>
          </w:p>
        </w:tc>
      </w:tr>
    </w:tbl>
    <w:p w:rsidR="00F73099" w:rsidRDefault="00F73099" w:rsidP="00F73099">
      <w:pPr>
        <w:widowControl/>
        <w:spacing w:line="360" w:lineRule="auto"/>
        <w:rPr>
          <w:rFonts w:ascii="黑体" w:eastAsia="黑体" w:hAnsi="黑体" w:cs="宋体"/>
          <w:color w:val="000000"/>
          <w:kern w:val="0"/>
          <w:sz w:val="24"/>
          <w:szCs w:val="24"/>
        </w:rPr>
      </w:pPr>
    </w:p>
    <w:p w:rsidR="00F73099" w:rsidRPr="006E072C" w:rsidRDefault="00F73099" w:rsidP="00F73099">
      <w:pPr>
        <w:widowControl/>
        <w:spacing w:line="360" w:lineRule="auto"/>
        <w:rPr>
          <w:rFonts w:ascii="黑体" w:eastAsia="黑体" w:hAnsi="黑体" w:cs="宋体"/>
          <w:color w:val="000000"/>
          <w:kern w:val="0"/>
          <w:sz w:val="24"/>
          <w:szCs w:val="24"/>
        </w:rPr>
      </w:pPr>
      <w:bookmarkStart w:id="0" w:name="_GoBack"/>
      <w:bookmarkEnd w:id="0"/>
    </w:p>
    <w:sectPr w:rsidR="00F73099" w:rsidRPr="006E0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552" w:rsidRDefault="00FB7552" w:rsidP="00E810FC">
      <w:r>
        <w:separator/>
      </w:r>
    </w:p>
  </w:endnote>
  <w:endnote w:type="continuationSeparator" w:id="0">
    <w:p w:rsidR="00FB7552" w:rsidRDefault="00FB7552" w:rsidP="00E8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552" w:rsidRDefault="00FB7552" w:rsidP="00E810FC">
      <w:r>
        <w:separator/>
      </w:r>
    </w:p>
  </w:footnote>
  <w:footnote w:type="continuationSeparator" w:id="0">
    <w:p w:rsidR="00FB7552" w:rsidRDefault="00FB7552" w:rsidP="00E81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99"/>
    <w:rsid w:val="00170A5A"/>
    <w:rsid w:val="006E072C"/>
    <w:rsid w:val="00BB3FE5"/>
    <w:rsid w:val="00C91594"/>
    <w:rsid w:val="00E706C6"/>
    <w:rsid w:val="00E810FC"/>
    <w:rsid w:val="00F73099"/>
    <w:rsid w:val="00FB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81E37"/>
  <w15:chartTrackingRefBased/>
  <w15:docId w15:val="{B6DA20C1-3C78-40CB-9591-BF019D98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09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0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810FC"/>
    <w:rPr>
      <w:sz w:val="18"/>
      <w:szCs w:val="18"/>
    </w:rPr>
  </w:style>
  <w:style w:type="paragraph" w:styleId="a6">
    <w:name w:val="footer"/>
    <w:basedOn w:val="a"/>
    <w:link w:val="a7"/>
    <w:uiPriority w:val="99"/>
    <w:unhideWhenUsed/>
    <w:rsid w:val="00E810FC"/>
    <w:pPr>
      <w:tabs>
        <w:tab w:val="center" w:pos="4153"/>
        <w:tab w:val="right" w:pos="8306"/>
      </w:tabs>
      <w:snapToGrid w:val="0"/>
      <w:jc w:val="left"/>
    </w:pPr>
    <w:rPr>
      <w:sz w:val="18"/>
      <w:szCs w:val="18"/>
    </w:rPr>
  </w:style>
  <w:style w:type="character" w:customStyle="1" w:styleId="a7">
    <w:name w:val="页脚 字符"/>
    <w:basedOn w:val="a0"/>
    <w:link w:val="a6"/>
    <w:uiPriority w:val="99"/>
    <w:rsid w:val="00E81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Company>PKU</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耿炜娜</dc:creator>
  <cp:keywords/>
  <dc:description/>
  <cp:lastModifiedBy>GAOCHENYU</cp:lastModifiedBy>
  <cp:revision>3</cp:revision>
  <dcterms:created xsi:type="dcterms:W3CDTF">2021-03-29T08:02:00Z</dcterms:created>
  <dcterms:modified xsi:type="dcterms:W3CDTF">2021-03-29T08:03:00Z</dcterms:modified>
</cp:coreProperties>
</file>