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北京大学艺术学院电影领域艺术硕士（MFA）</w:t>
      </w:r>
    </w:p>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专业学位研究生培养方案</w:t>
      </w:r>
    </w:p>
    <w:p>
      <w:pPr>
        <w:jc w:val="center"/>
        <w:rPr>
          <w:rFonts w:hint="eastAsia" w:ascii="楷体" w:hAnsi="楷体" w:eastAsia="楷体"/>
          <w:kern w:val="0"/>
          <w:sz w:val="28"/>
          <w:szCs w:val="28"/>
        </w:rPr>
      </w:pPr>
      <w:r>
        <w:rPr>
          <w:rFonts w:hint="eastAsia" w:ascii="楷体" w:hAnsi="楷体" w:eastAsia="楷体"/>
          <w:kern w:val="0"/>
          <w:sz w:val="28"/>
          <w:szCs w:val="28"/>
        </w:rPr>
        <w:t>（20</w:t>
      </w:r>
      <w:r>
        <w:rPr>
          <w:rFonts w:ascii="楷体" w:hAnsi="楷体" w:eastAsia="楷体"/>
          <w:kern w:val="0"/>
          <w:sz w:val="28"/>
          <w:szCs w:val="28"/>
        </w:rPr>
        <w:t>22</w:t>
      </w:r>
      <w:r>
        <w:rPr>
          <w:rFonts w:hint="eastAsia" w:ascii="楷体" w:hAnsi="楷体" w:eastAsia="楷体"/>
          <w:kern w:val="0"/>
          <w:sz w:val="28"/>
          <w:szCs w:val="28"/>
        </w:rPr>
        <w:t>年修订）</w:t>
      </w:r>
    </w:p>
    <w:p>
      <w:pPr>
        <w:jc w:val="center"/>
        <w:rPr>
          <w:rFonts w:hint="eastAsia" w:ascii="楷体" w:hAnsi="楷体" w:eastAsia="楷体"/>
          <w:kern w:val="0"/>
          <w:sz w:val="28"/>
          <w:szCs w:val="28"/>
        </w:rPr>
      </w:pPr>
    </w:p>
    <w:p>
      <w:pPr>
        <w:pStyle w:val="2"/>
        <w:bidi w:val="0"/>
      </w:pPr>
      <w:r>
        <w:rPr>
          <w:rFonts w:hint="eastAsia"/>
        </w:rPr>
        <w:t>一、培养目标</w:t>
      </w:r>
    </w:p>
    <w:p>
      <w:pPr>
        <w:bidi w:val="0"/>
      </w:pPr>
      <w:r>
        <w:rPr>
          <w:rFonts w:hint="eastAsia"/>
        </w:rPr>
        <w:t>根据全国艺术专业学位研究生教育指导委员会关于艺术硕士专业学位的基本要求和北京大学的特色优势，我们将以培养高层次的电影艺术创作专门人才为目标，以丰富文化底蕴、扩展国际视野、提升综合素质为教学理念，强调理论教学、课堂讨论、案例教学与实践操练相结合的教学方式。培养具有系统专业知识和高水平创作技能的高层次、应用型电影艺术专门人才。</w:t>
      </w:r>
    </w:p>
    <w:p>
      <w:pPr>
        <w:pStyle w:val="2"/>
        <w:bidi w:val="0"/>
        <w:rPr>
          <w:rFonts w:hint="eastAsia"/>
        </w:rPr>
      </w:pPr>
      <w:r>
        <w:rPr>
          <w:rFonts w:hint="eastAsia"/>
        </w:rPr>
        <w:t>二、学习年限</w:t>
      </w:r>
    </w:p>
    <w:p>
      <w:pPr>
        <w:bidi w:val="0"/>
        <w:rPr>
          <w:rFonts w:hint="eastAsia"/>
        </w:rPr>
      </w:pPr>
      <w:r>
        <w:rPr>
          <w:rFonts w:hint="eastAsia"/>
        </w:rPr>
        <w:t>艺术硕士（</w:t>
      </w:r>
      <w:r>
        <w:t>MFA</w:t>
      </w:r>
      <w:r>
        <w:rPr>
          <w:rFonts w:hint="eastAsia"/>
        </w:rPr>
        <w:t>）专业学位的教学强调理论教学、课堂讨论、案例教学与实践操练相结合的教学方式。</w:t>
      </w:r>
    </w:p>
    <w:p>
      <w:pPr>
        <w:bidi w:val="0"/>
        <w:rPr>
          <w:rFonts w:hint="eastAsia"/>
        </w:rPr>
      </w:pPr>
      <w:r>
        <w:rPr>
          <w:rFonts w:hint="eastAsia"/>
        </w:rPr>
        <w:t>基本学习年限为3年。</w:t>
      </w:r>
    </w:p>
    <w:p>
      <w:pPr>
        <w:pStyle w:val="2"/>
        <w:bidi w:val="0"/>
      </w:pPr>
      <w:r>
        <w:rPr>
          <w:rFonts w:hint="eastAsia"/>
        </w:rPr>
        <w:t>三、学分要求</w:t>
      </w:r>
    </w:p>
    <w:p>
      <w:pPr>
        <w:bidi w:val="0"/>
        <w:rPr>
          <w:rFonts w:hint="eastAsia"/>
        </w:rPr>
      </w:pPr>
      <w:r>
        <w:rPr>
          <w:rFonts w:hint="eastAsia"/>
        </w:rPr>
        <w:t>应修总学分为不少于</w:t>
      </w:r>
      <w:r>
        <w:rPr>
          <w:rFonts w:hint="eastAsia"/>
          <w:lang w:val="en-US" w:eastAsia="zh-CN"/>
        </w:rPr>
        <w:t>37</w:t>
      </w:r>
      <w:r>
        <w:rPr>
          <w:rFonts w:hint="eastAsia"/>
        </w:rPr>
        <w:t>学分，其中必修课程</w:t>
      </w:r>
      <w:r>
        <w:rPr>
          <w:rFonts w:hint="eastAsia"/>
          <w:lang w:val="en-US" w:eastAsia="zh-CN"/>
        </w:rPr>
        <w:t>28</w:t>
      </w:r>
      <w:r>
        <w:rPr>
          <w:rFonts w:hint="eastAsia"/>
        </w:rPr>
        <w:t>学分</w:t>
      </w:r>
      <w:r>
        <w:rPr>
          <w:rFonts w:hint="eastAsia"/>
          <w:lang w:eastAsia="zh-CN"/>
        </w:rPr>
        <w:t>（</w:t>
      </w:r>
      <w:r>
        <w:rPr>
          <w:rFonts w:hint="eastAsia"/>
          <w:lang w:val="en-US" w:eastAsia="zh-CN"/>
        </w:rPr>
        <w:t>含政治2分，英语2分，专业必修24分）</w:t>
      </w:r>
      <w:r>
        <w:rPr>
          <w:rFonts w:hint="eastAsia"/>
        </w:rPr>
        <w:t>，选修课程不少于9学分。</w:t>
      </w:r>
    </w:p>
    <w:p>
      <w:pPr>
        <w:pStyle w:val="2"/>
        <w:bidi w:val="0"/>
        <w:rPr>
          <w:rFonts w:hint="eastAsia"/>
        </w:rPr>
      </w:pPr>
      <w:r>
        <w:rPr>
          <w:rFonts w:hint="eastAsia"/>
        </w:rPr>
        <w:t>四、专业设置</w:t>
      </w:r>
    </w:p>
    <w:p>
      <w:pPr>
        <w:bidi w:val="0"/>
        <w:rPr>
          <w:rFonts w:ascii="ˎ̥" w:hAnsi="ˎ̥"/>
          <w:kern w:val="0"/>
          <w:highlight w:val="none"/>
        </w:rPr>
      </w:pPr>
      <w:bookmarkStart w:id="0" w:name="_GoBack"/>
      <w:r>
        <w:rPr>
          <w:rFonts w:hint="eastAsia"/>
        </w:rPr>
        <w:t>北京大学艺术硕士（</w:t>
      </w:r>
      <w:r>
        <w:t>MFA</w:t>
      </w:r>
      <w:r>
        <w:rPr>
          <w:rFonts w:hint="eastAsia"/>
        </w:rPr>
        <w:t>）专业学位</w:t>
      </w:r>
      <w:bookmarkEnd w:id="0"/>
      <w:r>
        <w:rPr>
          <w:rFonts w:hint="eastAsia"/>
        </w:rPr>
        <w:t>的主干专业为</w:t>
      </w:r>
      <w:r>
        <w:rPr>
          <w:rFonts w:hint="eastAsia"/>
          <w:lang w:val="en-US" w:eastAsia="zh-CN"/>
        </w:rPr>
        <w:t>电影</w:t>
      </w:r>
      <w:r>
        <w:rPr>
          <w:rFonts w:hint="eastAsia"/>
        </w:rPr>
        <w:t>，必修课程为主干专业的核心课程，选修课程是确立研究方向的基本依据。</w:t>
      </w:r>
    </w:p>
    <w:p>
      <w:pPr>
        <w:pStyle w:val="2"/>
        <w:bidi w:val="0"/>
        <w:rPr>
          <w:rFonts w:hint="eastAsia"/>
        </w:rPr>
      </w:pPr>
      <w:r>
        <w:rPr>
          <w:rFonts w:hint="eastAsia"/>
        </w:rPr>
        <w:t>五、教学要求</w:t>
      </w:r>
    </w:p>
    <w:p>
      <w:pPr>
        <w:pStyle w:val="3"/>
        <w:bidi w:val="0"/>
      </w:pPr>
      <w:r>
        <w:rPr>
          <w:rFonts w:hint="eastAsia"/>
        </w:rPr>
        <w:t>1、教学方式</w:t>
      </w:r>
    </w:p>
    <w:p>
      <w:pPr>
        <w:bidi w:val="0"/>
        <w:rPr>
          <w:rFonts w:hint="eastAsia"/>
        </w:rPr>
      </w:pPr>
      <w:r>
        <w:rPr>
          <w:rFonts w:hint="eastAsia"/>
        </w:rPr>
        <w:t>艺术硕士（</w:t>
      </w:r>
      <w:r>
        <w:t>MFA</w:t>
      </w:r>
      <w:r>
        <w:rPr>
          <w:rFonts w:hint="eastAsia"/>
        </w:rPr>
        <w:t>）专业学位的教学强调理论教学、课堂讨论、案例教学与实践操练相结合的教学方式。</w:t>
      </w:r>
    </w:p>
    <w:p>
      <w:pPr>
        <w:pStyle w:val="3"/>
        <w:bidi w:val="0"/>
        <w:rPr>
          <w:rFonts w:hint="eastAsia"/>
        </w:rPr>
      </w:pPr>
      <w:r>
        <w:rPr>
          <w:rFonts w:hint="eastAsia"/>
        </w:rPr>
        <w:t>2、课程类别</w:t>
      </w:r>
    </w:p>
    <w:p>
      <w:pPr>
        <w:bidi w:val="0"/>
        <w:rPr>
          <w:rFonts w:hint="eastAsia"/>
        </w:rPr>
      </w:pPr>
      <w:r>
        <w:rPr>
          <w:rFonts w:hint="eastAsia"/>
        </w:rPr>
        <w:t>艺术硕士（</w:t>
      </w:r>
      <w:r>
        <w:t>MFA</w:t>
      </w:r>
      <w:r>
        <w:rPr>
          <w:rFonts w:hint="eastAsia"/>
        </w:rPr>
        <w:t>）专业学位课程分为必修课程与选修课程。其中，必修课程包括公共基础课程和专业必修课程，训练学生所必须的艺术学理论、东西方文化理论、专业基础知识和影视制作技能；选修课程包括专业选修课和公共选修课，通过专业选修课程的学习，可以开阔学生的学术视野、理论认知，确定的主修方向，为未来专业发展奠定特色基础，通过公共选修课程的学习，可以培养学生具有突出的跨学科基础理论知识和前沿问题研究能力以及不同专业领域内的专业知识结构。</w:t>
      </w:r>
    </w:p>
    <w:p>
      <w:pPr>
        <w:pStyle w:val="3"/>
        <w:bidi w:val="0"/>
      </w:pPr>
      <w:r>
        <w:rPr>
          <w:rFonts w:hint="eastAsia"/>
        </w:rPr>
        <w:t>3、课程考核</w:t>
      </w:r>
    </w:p>
    <w:p>
      <w:pPr>
        <w:bidi w:val="0"/>
        <w:rPr>
          <w:rFonts w:hint="eastAsia"/>
        </w:rPr>
      </w:pPr>
      <w:r>
        <w:rPr>
          <w:rFonts w:hint="eastAsia"/>
        </w:rPr>
        <w:t>课程考核分为考试和考查两种。</w:t>
      </w:r>
    </w:p>
    <w:p>
      <w:pPr>
        <w:bidi w:val="0"/>
        <w:rPr>
          <w:rFonts w:hint="eastAsia"/>
        </w:rPr>
      </w:pPr>
      <w:r>
        <w:rPr>
          <w:rFonts w:hint="eastAsia"/>
        </w:rPr>
        <w:t>除实践性教学环节可采用考查方式进行外，课程考核要以笔试</w:t>
      </w:r>
      <w:r>
        <w:t>/</w:t>
      </w:r>
      <w:r>
        <w:rPr>
          <w:rFonts w:hint="eastAsia"/>
        </w:rPr>
        <w:t>口试、闭卷</w:t>
      </w:r>
      <w:r>
        <w:t>/</w:t>
      </w:r>
      <w:r>
        <w:rPr>
          <w:rFonts w:hint="eastAsia"/>
        </w:rPr>
        <w:t>开卷、撰写论文、完成项目等形式进行。考核形式由任课老师根据课程性质和教学要求确定，由主管院长审批。</w:t>
      </w:r>
    </w:p>
    <w:p>
      <w:pPr>
        <w:bidi w:val="0"/>
        <w:rPr>
          <w:rFonts w:hint="eastAsia"/>
        </w:rPr>
      </w:pPr>
      <w:r>
        <w:rPr>
          <w:rFonts w:hint="eastAsia"/>
        </w:rPr>
        <w:t>考核成绩由平时成绩（文献阅读、课堂讨论、作业等）和期末考试成绩综合评定。成绩采用等级制，成绩合格，可获学分。</w:t>
      </w:r>
    </w:p>
    <w:p>
      <w:pPr>
        <w:pStyle w:val="3"/>
        <w:bidi w:val="0"/>
        <w:rPr>
          <w:rFonts w:hint="eastAsia"/>
        </w:rPr>
      </w:pPr>
      <w:r>
        <w:rPr>
          <w:rFonts w:hint="eastAsia"/>
        </w:rPr>
        <w:t>4、教学安排</w:t>
      </w:r>
    </w:p>
    <w:p>
      <w:pPr>
        <w:bidi w:val="0"/>
        <w:rPr>
          <w:rFonts w:hint="eastAsia"/>
        </w:rPr>
      </w:pPr>
      <w:r>
        <w:rPr>
          <w:rFonts w:hint="eastAsia"/>
        </w:rPr>
        <w:t>全日制艺术硕士的教学时间参照北京大学校历以周一到周五上课为主。非全日制艺术硕士的教学时间安排以集中教学为主。每月</w:t>
      </w:r>
      <w:r>
        <w:rPr>
          <w:rFonts w:hint="eastAsia"/>
          <w:lang w:val="en-US" w:eastAsia="zh-CN"/>
        </w:rPr>
        <w:t>两</w:t>
      </w:r>
      <w:r>
        <w:rPr>
          <w:rFonts w:hint="eastAsia"/>
        </w:rPr>
        <w:t>次，一般安排在周末三天集中上课。课程安排以每学期课表为准。</w:t>
      </w:r>
    </w:p>
    <w:p>
      <w:pPr>
        <w:bidi w:val="0"/>
      </w:pPr>
      <w:r>
        <w:rPr>
          <w:rFonts w:hint="eastAsia"/>
        </w:rPr>
        <w:t>学生必须严格遵守教学纪律，按时上课，凡无故三次缺课者取消考试资格。</w:t>
      </w:r>
    </w:p>
    <w:p>
      <w:pPr>
        <w:pStyle w:val="3"/>
        <w:bidi w:val="0"/>
      </w:pPr>
      <w:r>
        <w:rPr>
          <w:rFonts w:hint="eastAsia"/>
        </w:rPr>
        <w:t>5、毕业</w:t>
      </w:r>
      <w:r>
        <w:rPr>
          <w:rFonts w:hint="eastAsia"/>
          <w:lang w:val="en-US" w:eastAsia="zh-CN"/>
        </w:rPr>
        <w:t>考核及流程</w:t>
      </w:r>
      <w:r>
        <w:t xml:space="preserve"> </w:t>
      </w:r>
    </w:p>
    <w:p>
      <w:pPr>
        <w:bidi w:val="0"/>
        <w:rPr>
          <w:rFonts w:hint="eastAsia"/>
        </w:rPr>
      </w:pPr>
      <w:r>
        <w:rPr>
          <w:rFonts w:hint="eastAsia"/>
        </w:rPr>
        <w:t>本专业学位申请者，在修学规定课程和获得规定学分的同时，须完成毕业考核的毕业要求。毕业考核包括毕业作品与作品阐释，毕业考核答辩作为艺术硕士专业学位申请人专业水平的评价依据。毕业作品体现申请人的专业技能水平，作品阐释体现申请人对应用专业技能所表现出的综合素质和理论分析能力。毕业考核答辩应公开进行。申请人在答辩前应先通过毕业考核开题。</w:t>
      </w:r>
    </w:p>
    <w:p>
      <w:pPr>
        <w:bidi w:val="0"/>
        <w:rPr>
          <w:rFonts w:hint="eastAsia" w:ascii="ˎ̥" w:hAnsi="ˎ̥"/>
          <w:kern w:val="0"/>
        </w:rPr>
      </w:pPr>
      <w:r>
        <w:rPr>
          <w:rFonts w:hint="eastAsia"/>
        </w:rPr>
        <w:t>毕业考核开题一般应于第二学年第二学期进行。学生应准备与毕业作品相关的开题报告，报告应包括影视作品的策划方案、剧本与制片策略。经</w:t>
      </w:r>
      <w:r>
        <w:rPr>
          <w:rFonts w:hint="eastAsia" w:ascii="ˎ̥" w:hAnsi="ˎ̥"/>
          <w:kern w:val="0"/>
        </w:rPr>
        <w:t>开题通过后，原则上不允许随意更改选题。</w:t>
      </w:r>
    </w:p>
    <w:p>
      <w:pPr>
        <w:bidi w:val="0"/>
        <w:rPr>
          <w:rFonts w:hint="eastAsia"/>
        </w:rPr>
      </w:pPr>
      <w:r>
        <w:rPr>
          <w:rFonts w:hint="eastAsia"/>
        </w:rPr>
        <w:t>艺术硕士（</w:t>
      </w:r>
      <w:r>
        <w:t>MFA</w:t>
      </w:r>
      <w:r>
        <w:rPr>
          <w:rFonts w:hint="eastAsia"/>
        </w:rPr>
        <w:t>）专业学位的学生毕业时须提交一部非职务创作作品作为毕业实践作品，通过作品评审，确认成绩。</w:t>
      </w:r>
    </w:p>
    <w:p>
      <w:pPr>
        <w:bidi w:val="0"/>
      </w:pPr>
      <w:r>
        <w:rPr>
          <w:rFonts w:hint="eastAsia"/>
        </w:rPr>
        <w:t>（</w:t>
      </w:r>
      <w:r>
        <w:t>1</w:t>
      </w:r>
      <w:r>
        <w:rPr>
          <w:rFonts w:hint="eastAsia"/>
        </w:rPr>
        <w:t>）作品总体要求：毕业作品要求完整、系统，能够体现本专业研究方向较高的艺术水准。作品思想正确、主题鲜明。作品要符合电影院、电视台和新媒体音视频等音画终端的播出标准：内容充实、画面丰富、音响清晰、形式新颖、剪辑自然流畅、反映明确的创作思想、较高的制作水平及驾驭节目的能力。</w:t>
      </w:r>
    </w:p>
    <w:p>
      <w:pPr>
        <w:bidi w:val="0"/>
      </w:pPr>
      <w:r>
        <w:rPr>
          <w:rFonts w:hint="eastAsia"/>
        </w:rPr>
        <w:t>（</w:t>
      </w:r>
      <w:r>
        <w:t>2</w:t>
      </w:r>
      <w:r>
        <w:rPr>
          <w:rFonts w:hint="eastAsia"/>
        </w:rPr>
        <w:t>）作品具体要求：</w:t>
      </w:r>
      <w:r>
        <w:t>必须是视听原创作品，作品类型包括</w:t>
      </w:r>
      <w:r>
        <w:rPr>
          <w:rFonts w:hint="eastAsia"/>
        </w:rPr>
        <w:t>虚构类（如剧情片、动画片等）和非虚构类（如纪录片等）。申请者应至少独自担任影片的编剧或导演职务，一般不少于2</w:t>
      </w:r>
      <w:r>
        <w:t>0</w:t>
      </w:r>
      <w:r>
        <w:rPr>
          <w:rFonts w:hint="eastAsia"/>
        </w:rPr>
        <w:t>分钟。同时应提交本影片的作品阐释，阐释应具有影片相关领域的视野广度与理论深度。内容应包括相关领域的历史与理论背景，影片主旨、意图、相关分析以及个人的创作观点等。字数不少于</w:t>
      </w:r>
      <w:r>
        <w:t>0.5</w:t>
      </w:r>
      <w:r>
        <w:rPr>
          <w:rFonts w:hint="eastAsia"/>
        </w:rPr>
        <w:t>万字。</w:t>
      </w:r>
    </w:p>
    <w:p>
      <w:pPr>
        <w:bidi w:val="0"/>
        <w:rPr>
          <w:rFonts w:hint="eastAsia"/>
        </w:rPr>
      </w:pPr>
      <w:r>
        <w:rPr>
          <w:rFonts w:hint="eastAsia"/>
        </w:rPr>
        <w:t>（</w:t>
      </w:r>
      <w:r>
        <w:t>3</w:t>
      </w:r>
      <w:r>
        <w:rPr>
          <w:rFonts w:hint="eastAsia"/>
        </w:rPr>
        <w:t>）作品创作时间：毕业作品的创作时间为学生完成全部学分之后至提交作品截止日期前。如学生的答辩时间后延，毕业作品的创作时间可作相应调整。</w:t>
      </w:r>
    </w:p>
    <w:p>
      <w:pPr>
        <w:pStyle w:val="2"/>
        <w:bidi w:val="0"/>
      </w:pPr>
      <w:r>
        <w:rPr>
          <w:rFonts w:hint="eastAsia"/>
        </w:rPr>
        <w:t>六、课程设置</w:t>
      </w:r>
    </w:p>
    <w:p>
      <w:pPr>
        <w:pStyle w:val="3"/>
        <w:bidi w:val="0"/>
        <w:rPr>
          <w:rFonts w:hint="default"/>
          <w:lang w:val="en-US" w:eastAsia="zh-CN"/>
        </w:rPr>
      </w:pPr>
      <w:r>
        <w:t xml:space="preserve">1. </w:t>
      </w:r>
      <w:r>
        <w:rPr>
          <w:rFonts w:hint="eastAsia"/>
          <w:lang w:val="en-US" w:eastAsia="zh-CN"/>
        </w:rPr>
        <w:t>必修课程（28学分）</w:t>
      </w:r>
    </w:p>
    <w:p>
      <w:pPr>
        <w:spacing w:line="360" w:lineRule="auto"/>
        <w:ind w:firstLine="562" w:firstLineChars="200"/>
        <w:outlineLvl w:val="0"/>
        <w:rPr>
          <w:rFonts w:hint="default" w:ascii="宋体" w:hAnsi="宋体" w:eastAsia="宋体"/>
          <w:b/>
          <w:kern w:val="0"/>
          <w:sz w:val="28"/>
          <w:szCs w:val="28"/>
          <w:lang w:val="en-US" w:eastAsia="zh-CN"/>
        </w:rPr>
      </w:pPr>
      <w:r>
        <w:rPr>
          <w:rFonts w:hint="eastAsia" w:ascii="ˎ̥" w:hAnsi="ˎ̥"/>
          <w:b/>
          <w:kern w:val="0"/>
          <w:sz w:val="28"/>
          <w:szCs w:val="28"/>
          <w:lang w:val="en-US" w:eastAsia="zh-CN"/>
        </w:rPr>
        <w:t>（1）学院通识课（13学分）</w:t>
      </w:r>
    </w:p>
    <w:p>
      <w:pPr>
        <w:bidi w:val="0"/>
        <w:rPr>
          <w:rFonts w:hint="eastAsia"/>
        </w:rPr>
      </w:pPr>
      <w:r>
        <w:rPr>
          <w:rFonts w:hint="eastAsia"/>
        </w:rPr>
        <w:t>该类课程内容包括公共基础课程</w:t>
      </w:r>
      <w:r>
        <w:rPr>
          <w:rFonts w:hint="eastAsia"/>
          <w:lang w:eastAsia="zh-CN"/>
        </w:rPr>
        <w:t>、</w:t>
      </w:r>
      <w:r>
        <w:rPr>
          <w:rFonts w:hint="eastAsia"/>
        </w:rPr>
        <w:t>专业必修课程</w:t>
      </w:r>
      <w:r>
        <w:rPr>
          <w:rFonts w:hint="eastAsia"/>
          <w:lang w:val="en-US" w:eastAsia="zh-CN"/>
        </w:rPr>
        <w:t>与专业基础课程</w:t>
      </w:r>
      <w:r>
        <w:rPr>
          <w:rFonts w:hint="eastAsia"/>
        </w:rPr>
        <w:t>，涵盖学生需要掌握的</w:t>
      </w:r>
      <w:r>
        <w:rPr>
          <w:rFonts w:hint="eastAsia"/>
          <w:lang w:val="en-US" w:eastAsia="zh-CN"/>
        </w:rPr>
        <w:t>通识知识、</w:t>
      </w:r>
      <w:r>
        <w:rPr>
          <w:rFonts w:hint="eastAsia"/>
        </w:rPr>
        <w:t>艺术学理论、东西方文化理论、专业基础知识和技能的内容，</w:t>
      </w:r>
      <w:r>
        <w:rPr>
          <w:rFonts w:hint="eastAsia"/>
          <w:lang w:val="en-US" w:eastAsia="zh-CN"/>
        </w:rPr>
        <w:t>包含</w:t>
      </w:r>
      <w:r>
        <w:rPr>
          <w:rFonts w:hint="eastAsia"/>
        </w:rPr>
        <w:t>所有研究方向学生的必修课程。</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8"/>
        <w:gridCol w:w="1527"/>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8" w:type="dxa"/>
            <w:noWrap w:val="0"/>
            <w:vAlign w:val="center"/>
          </w:tcPr>
          <w:p>
            <w:pPr>
              <w:widowControl/>
              <w:ind w:left="0" w:leftChars="0" w:firstLine="0" w:firstLineChars="0"/>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val="en-US" w:eastAsia="zh-CN"/>
              </w:rPr>
              <w:t>学院通识课</w:t>
            </w:r>
          </w:p>
        </w:tc>
        <w:tc>
          <w:tcPr>
            <w:tcW w:w="1527" w:type="dxa"/>
            <w:noWrap w:val="0"/>
            <w:vAlign w:val="center"/>
          </w:tcPr>
          <w:p>
            <w:pPr>
              <w:widowControl/>
              <w:ind w:left="0" w:leftChars="0" w:firstLine="0" w:firstLineChars="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学分</w:t>
            </w:r>
          </w:p>
        </w:tc>
        <w:tc>
          <w:tcPr>
            <w:tcW w:w="1917" w:type="dxa"/>
            <w:noWrap w:val="0"/>
            <w:vAlign w:val="center"/>
          </w:tcPr>
          <w:p>
            <w:pPr>
              <w:widowControl/>
              <w:ind w:left="0" w:leftChars="0" w:firstLine="0" w:firstLineChars="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2"/>
                <w:szCs w:val="22"/>
              </w:rPr>
              <w:t>开课教师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外国语</w:t>
            </w:r>
          </w:p>
        </w:tc>
        <w:tc>
          <w:tcPr>
            <w:tcW w:w="1527"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917" w:type="dxa"/>
            <w:noWrap w:val="0"/>
            <w:vAlign w:val="center"/>
          </w:tcPr>
          <w:p>
            <w:pPr>
              <w:widowControl/>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新时代中国特色社会主义理论与实践研究</w:t>
            </w:r>
          </w:p>
        </w:tc>
        <w:tc>
          <w:tcPr>
            <w:tcW w:w="1527"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917" w:type="dxa"/>
            <w:noWrap w:val="0"/>
            <w:vAlign w:val="center"/>
          </w:tcPr>
          <w:p>
            <w:pPr>
              <w:widowControl/>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8" w:type="dxa"/>
            <w:noWrap/>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艺术理论与论文写作</w:t>
            </w:r>
          </w:p>
        </w:tc>
        <w:tc>
          <w:tcPr>
            <w:tcW w:w="1527"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917"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唐宏峰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艺术史专题</w:t>
            </w:r>
          </w:p>
        </w:tc>
        <w:tc>
          <w:tcPr>
            <w:tcW w:w="1527"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917" w:type="dxa"/>
            <w:noWrap w:val="0"/>
            <w:vAlign w:val="center"/>
          </w:tcPr>
          <w:p>
            <w:pPr>
              <w:widowControl/>
              <w:ind w:left="0" w:leftChars="0" w:firstLine="0" w:firstLineChars="0"/>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highlight w:val="none"/>
                <w:lang w:val="en-US" w:eastAsia="zh-CN"/>
              </w:rPr>
              <w:t>白巍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7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艺术批评：理论与实践</w:t>
            </w:r>
          </w:p>
        </w:tc>
        <w:tc>
          <w:tcPr>
            <w:tcW w:w="1527"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917"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彭锋</w:t>
            </w:r>
          </w:p>
        </w:tc>
      </w:tr>
    </w:tbl>
    <w:p>
      <w:pPr>
        <w:spacing w:line="360" w:lineRule="auto"/>
        <w:jc w:val="right"/>
        <w:rPr>
          <w:rFonts w:hint="eastAsia"/>
          <w:sz w:val="21"/>
          <w:szCs w:val="15"/>
        </w:rPr>
      </w:pPr>
      <w:r>
        <w:rPr>
          <w:rFonts w:hint="eastAsia"/>
          <w:sz w:val="21"/>
          <w:szCs w:val="15"/>
        </w:rPr>
        <w:t>（以上内容仅供参考，具体课程以每学期课表为准）</w:t>
      </w:r>
    </w:p>
    <w:p>
      <w:pPr>
        <w:numPr>
          <w:ilvl w:val="0"/>
          <w:numId w:val="1"/>
        </w:numPr>
        <w:spacing w:line="360" w:lineRule="auto"/>
        <w:ind w:firstLine="562" w:firstLineChars="200"/>
        <w:outlineLvl w:val="0"/>
        <w:rPr>
          <w:rFonts w:hint="eastAsia" w:ascii="ˎ̥" w:hAnsi="ˎ̥"/>
          <w:b/>
          <w:kern w:val="0"/>
          <w:sz w:val="28"/>
          <w:szCs w:val="28"/>
          <w:lang w:val="en-US" w:eastAsia="zh-CN"/>
        </w:rPr>
      </w:pPr>
      <w:r>
        <w:rPr>
          <w:rFonts w:hint="eastAsia" w:ascii="ˎ̥" w:hAnsi="ˎ̥"/>
          <w:b/>
          <w:kern w:val="0"/>
          <w:sz w:val="28"/>
          <w:szCs w:val="28"/>
          <w:lang w:val="en-US" w:eastAsia="zh-CN"/>
        </w:rPr>
        <w:t>专业基础课（6学分）</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7"/>
        <w:gridCol w:w="1038"/>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b/>
                <w:bCs/>
                <w:color w:val="000000"/>
                <w:kern w:val="0"/>
                <w:sz w:val="24"/>
                <w:szCs w:val="24"/>
                <w:lang w:val="en-US" w:eastAsia="zh-CN"/>
              </w:rPr>
              <w:t>专业基础课</w:t>
            </w:r>
          </w:p>
        </w:tc>
        <w:tc>
          <w:tcPr>
            <w:tcW w:w="686" w:type="dxa"/>
            <w:noWrap w:val="0"/>
            <w:vAlign w:val="center"/>
          </w:tcPr>
          <w:p>
            <w:pPr>
              <w:widowControl/>
              <w:ind w:left="0" w:leftChars="0" w:firstLine="0" w:firstLineChars="0"/>
              <w:jc w:val="center"/>
              <w:rPr>
                <w:rFonts w:hint="eastAsia" w:ascii="宋体" w:hAnsi="宋体" w:cs="宋体"/>
                <w:color w:val="000000"/>
                <w:kern w:val="0"/>
                <w:sz w:val="21"/>
                <w:szCs w:val="21"/>
              </w:rPr>
            </w:pPr>
            <w:r>
              <w:rPr>
                <w:rFonts w:hint="eastAsia" w:ascii="宋体" w:hAnsi="宋体" w:eastAsia="宋体" w:cs="宋体"/>
                <w:b/>
                <w:bCs/>
                <w:color w:val="000000"/>
                <w:kern w:val="0"/>
                <w:sz w:val="22"/>
                <w:szCs w:val="22"/>
              </w:rPr>
              <w:t>学分</w:t>
            </w:r>
          </w:p>
        </w:tc>
        <w:tc>
          <w:tcPr>
            <w:tcW w:w="1499" w:type="dxa"/>
            <w:noWrap w:val="0"/>
            <w:vAlign w:val="center"/>
          </w:tcPr>
          <w:p>
            <w:pPr>
              <w:widowControl/>
              <w:ind w:left="0" w:leftChars="0" w:firstLine="0" w:firstLineChars="0"/>
              <w:jc w:val="center"/>
              <w:rPr>
                <w:rFonts w:hint="eastAsia" w:ascii="宋体" w:hAnsi="宋体" w:cs="宋体"/>
                <w:color w:val="000000"/>
                <w:kern w:val="0"/>
                <w:sz w:val="21"/>
                <w:szCs w:val="21"/>
              </w:rPr>
            </w:pPr>
            <w:r>
              <w:rPr>
                <w:rFonts w:hint="eastAsia" w:ascii="宋体" w:hAnsi="宋体" w:eastAsia="宋体" w:cs="宋体"/>
                <w:b/>
                <w:bCs/>
                <w:color w:val="000000"/>
                <w:kern w:val="0"/>
                <w:sz w:val="24"/>
                <w:szCs w:val="24"/>
              </w:rPr>
              <w:t>开课教师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影视编剧创作</w:t>
            </w:r>
          </w:p>
        </w:tc>
        <w:tc>
          <w:tcPr>
            <w:tcW w:w="686"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李道新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trPr>
        <w:tc>
          <w:tcPr>
            <w:tcW w:w="344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影视导演创作</w:t>
            </w:r>
          </w:p>
        </w:tc>
        <w:tc>
          <w:tcPr>
            <w:tcW w:w="686"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陈宇</w:t>
            </w:r>
          </w:p>
        </w:tc>
      </w:tr>
    </w:tbl>
    <w:p>
      <w:pPr>
        <w:spacing w:line="360" w:lineRule="auto"/>
        <w:jc w:val="right"/>
        <w:rPr>
          <w:rFonts w:hint="eastAsia"/>
          <w:sz w:val="21"/>
          <w:szCs w:val="21"/>
        </w:rPr>
      </w:pPr>
      <w:r>
        <w:rPr>
          <w:rFonts w:hint="eastAsia"/>
          <w:sz w:val="21"/>
          <w:szCs w:val="21"/>
        </w:rPr>
        <w:t>（以上内容仅供参考，具体课程以每学期课表为准）</w:t>
      </w:r>
    </w:p>
    <w:p>
      <w:pPr>
        <w:numPr>
          <w:ilvl w:val="0"/>
          <w:numId w:val="1"/>
        </w:numPr>
        <w:spacing w:line="360" w:lineRule="auto"/>
        <w:ind w:left="0" w:leftChars="0" w:firstLine="562" w:firstLineChars="200"/>
        <w:outlineLvl w:val="0"/>
        <w:rPr>
          <w:rFonts w:hint="eastAsia" w:ascii="ˎ̥" w:hAnsi="ˎ̥"/>
          <w:b/>
          <w:kern w:val="0"/>
          <w:sz w:val="28"/>
          <w:szCs w:val="28"/>
          <w:lang w:val="en-US" w:eastAsia="zh-CN"/>
        </w:rPr>
      </w:pPr>
      <w:r>
        <w:rPr>
          <w:rFonts w:hint="eastAsia" w:ascii="ˎ̥" w:hAnsi="ˎ̥"/>
          <w:b/>
          <w:kern w:val="0"/>
          <w:sz w:val="28"/>
          <w:szCs w:val="28"/>
          <w:lang w:val="en-US" w:eastAsia="zh-CN"/>
        </w:rPr>
        <w:t>导师实践课（6学分）</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3"/>
        <w:gridCol w:w="1547"/>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b/>
                <w:bCs/>
                <w:color w:val="000000"/>
                <w:kern w:val="0"/>
                <w:sz w:val="24"/>
                <w:szCs w:val="24"/>
                <w:lang w:val="en-US" w:eastAsia="zh-CN"/>
              </w:rPr>
              <w:t>导师实践课程</w:t>
            </w:r>
          </w:p>
        </w:tc>
        <w:tc>
          <w:tcPr>
            <w:tcW w:w="685" w:type="dxa"/>
            <w:noWrap w:val="0"/>
            <w:vAlign w:val="center"/>
          </w:tcPr>
          <w:p>
            <w:pPr>
              <w:widowControl/>
              <w:jc w:val="center"/>
              <w:rPr>
                <w:rFonts w:hint="eastAsia" w:ascii="宋体" w:hAnsi="宋体" w:cs="宋体"/>
                <w:color w:val="000000"/>
                <w:kern w:val="0"/>
                <w:sz w:val="21"/>
                <w:szCs w:val="21"/>
              </w:rPr>
            </w:pPr>
            <w:r>
              <w:rPr>
                <w:rFonts w:hint="eastAsia" w:ascii="宋体" w:hAnsi="宋体" w:eastAsia="宋体" w:cs="宋体"/>
                <w:b/>
                <w:bCs/>
                <w:color w:val="000000"/>
                <w:kern w:val="0"/>
                <w:sz w:val="24"/>
                <w:szCs w:val="24"/>
              </w:rPr>
              <w:t>学分</w:t>
            </w:r>
          </w:p>
        </w:tc>
        <w:tc>
          <w:tcPr>
            <w:tcW w:w="1498" w:type="dxa"/>
            <w:noWrap w:val="0"/>
            <w:vAlign w:val="center"/>
          </w:tcPr>
          <w:p>
            <w:pPr>
              <w:widowControl/>
              <w:jc w:val="center"/>
              <w:rPr>
                <w:rFonts w:hint="eastAsia" w:ascii="宋体" w:hAnsi="宋体" w:cs="宋体"/>
                <w:color w:val="000000"/>
                <w:kern w:val="0"/>
                <w:sz w:val="21"/>
                <w:szCs w:val="21"/>
              </w:rPr>
            </w:pPr>
            <w:r>
              <w:rPr>
                <w:rFonts w:hint="eastAsia" w:ascii="宋体" w:hAnsi="宋体" w:eastAsia="宋体" w:cs="宋体"/>
                <w:b/>
                <w:bCs/>
                <w:color w:val="000000"/>
                <w:kern w:val="0"/>
                <w:sz w:val="22"/>
                <w:szCs w:val="22"/>
              </w:rPr>
              <w:t>开课教师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类型电影原理与类型影视剧创作</w:t>
            </w:r>
          </w:p>
        </w:tc>
        <w:tc>
          <w:tcPr>
            <w:tcW w:w="685"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陈旭光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影视剧创意策划与编剧实践（一）</w:t>
            </w:r>
          </w:p>
        </w:tc>
        <w:tc>
          <w:tcPr>
            <w:tcW w:w="685"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陈旭光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影视剧创意策划与编剧实践（二）</w:t>
            </w:r>
          </w:p>
        </w:tc>
        <w:tc>
          <w:tcPr>
            <w:tcW w:w="685"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陈旭光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非虚构影像创作（上）</w:t>
            </w:r>
          </w:p>
        </w:tc>
        <w:tc>
          <w:tcPr>
            <w:tcW w:w="685"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李洋、唐宏峰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非虚构影像创作（下）</w:t>
            </w:r>
          </w:p>
        </w:tc>
        <w:tc>
          <w:tcPr>
            <w:tcW w:w="685"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李洋、唐宏峰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非虚构影像研究与实践</w:t>
            </w:r>
          </w:p>
        </w:tc>
        <w:tc>
          <w:tcPr>
            <w:tcW w:w="685"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李洋、唐宏峰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商业电影创作（下）</w:t>
            </w:r>
          </w:p>
        </w:tc>
        <w:tc>
          <w:tcPr>
            <w:tcW w:w="685"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邱章红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商业电影创作（上）</w:t>
            </w:r>
          </w:p>
        </w:tc>
        <w:tc>
          <w:tcPr>
            <w:tcW w:w="685"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邱章红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商业电影投资实践</w:t>
            </w:r>
          </w:p>
        </w:tc>
        <w:tc>
          <w:tcPr>
            <w:tcW w:w="685"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邱章红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影视创作（二）</w:t>
            </w:r>
          </w:p>
        </w:tc>
        <w:tc>
          <w:tcPr>
            <w:tcW w:w="685"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影视创作（一）</w:t>
            </w:r>
          </w:p>
        </w:tc>
        <w:tc>
          <w:tcPr>
            <w:tcW w:w="685"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影视项目创作实践</w:t>
            </w:r>
          </w:p>
        </w:tc>
        <w:tc>
          <w:tcPr>
            <w:tcW w:w="685"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中外影视比较研究与新影像创作（一）</w:t>
            </w:r>
          </w:p>
        </w:tc>
        <w:tc>
          <w:tcPr>
            <w:tcW w:w="685"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李道新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中外影视比较研究与新影像创作（二）</w:t>
            </w:r>
          </w:p>
        </w:tc>
        <w:tc>
          <w:tcPr>
            <w:tcW w:w="685"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李道新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449"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中外影视比较研究与新影像实践</w:t>
            </w:r>
          </w:p>
        </w:tc>
        <w:tc>
          <w:tcPr>
            <w:tcW w:w="685"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498" w:type="dxa"/>
            <w:noWrap w:val="0"/>
            <w:vAlign w:val="center"/>
          </w:tcPr>
          <w:p>
            <w:pPr>
              <w:widowControl/>
              <w:ind w:left="0" w:lef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李道新</w:t>
            </w:r>
          </w:p>
        </w:tc>
      </w:tr>
    </w:tbl>
    <w:p>
      <w:pPr>
        <w:spacing w:line="360" w:lineRule="auto"/>
        <w:jc w:val="right"/>
        <w:rPr>
          <w:rFonts w:hint="eastAsia"/>
          <w:b/>
          <w:kern w:val="0"/>
          <w:sz w:val="24"/>
        </w:rPr>
      </w:pPr>
      <w:r>
        <w:rPr>
          <w:rFonts w:hint="eastAsia"/>
          <w:sz w:val="21"/>
          <w:szCs w:val="21"/>
        </w:rPr>
        <w:t>（以上内容仅供参考，具体课程以每学期课表为准）</w:t>
      </w:r>
    </w:p>
    <w:p>
      <w:pPr>
        <w:pStyle w:val="3"/>
        <w:bidi w:val="0"/>
        <w:rPr>
          <w:rFonts w:hint="eastAsia"/>
        </w:rPr>
      </w:pPr>
      <w:r>
        <w:t>2</w:t>
      </w:r>
      <w:r>
        <w:rPr>
          <w:rFonts w:hint="eastAsia"/>
        </w:rPr>
        <w:t>、选修课程（9学分）</w:t>
      </w:r>
    </w:p>
    <w:p>
      <w:pPr>
        <w:bidi w:val="0"/>
        <w:rPr>
          <w:rFonts w:hint="eastAsia"/>
        </w:rPr>
      </w:pPr>
      <w:r>
        <w:rPr>
          <w:rFonts w:hint="eastAsia"/>
        </w:rPr>
        <w:t>选修课程包括专业选修课和公共选修课。专业选修课为不同方向领域内的专业课程，通过专业选修课的学习，学生们可以在开阔的学科视野中更深刻地了解认识本专业，并确定自己的主修方向，为未来专业发展奠定特色基础。公共选修课为本院和其它各院系开设的专业或通选课程，如哲学、社会学、中文、心理、经济、法律等。课程突出跨学科基础理论和前沿问题研究以及不同专业领域内的基础专业知识。</w:t>
      </w:r>
    </w:p>
    <w:p>
      <w:pPr>
        <w:spacing w:line="360" w:lineRule="auto"/>
        <w:ind w:firstLine="480" w:firstLineChars="200"/>
        <w:rPr>
          <w:rFonts w:hint="eastAsia"/>
          <w:kern w:val="0"/>
          <w:sz w:val="24"/>
        </w:rPr>
      </w:pPr>
    </w:p>
    <w:tbl>
      <w:tblPr>
        <w:tblStyle w:val="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36"/>
        <w:gridCol w:w="2141"/>
        <w:gridCol w:w="1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2778" w:type="pct"/>
            <w:noWrap w:val="0"/>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b/>
                <w:bCs/>
                <w:kern w:val="0"/>
                <w:sz w:val="24"/>
                <w:szCs w:val="24"/>
              </w:rPr>
              <w:t>专业选修课程</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学时</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b/>
                <w:bCs/>
                <w:kern w:val="0"/>
                <w:sz w:val="24"/>
                <w:szCs w:val="24"/>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艺术学专题</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艺术心理学研究</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学术规范与论文写作</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西方现代艺术史</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影视研究专题</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影视批评学专题</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世界电影史专题</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国外传媒考察与研究</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媒介批评与文化影响</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当代文化艺术专题</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文化产业战略与管理</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电影史研究专题</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影视文化学专题</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kern w:val="0"/>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戏剧史专题研究</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kern w:val="0"/>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美学专题</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kern w:val="0"/>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文化产业专题研究</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kern w:val="0"/>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创意管理研究</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kern w:val="0"/>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2778" w:type="pct"/>
            <w:noWrap w:val="0"/>
            <w:vAlign w:val="center"/>
          </w:tcPr>
          <w:p>
            <w:pPr>
              <w:widowControl/>
              <w:spacing w:line="24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文化艺术管理研究</w:t>
            </w:r>
          </w:p>
        </w:tc>
        <w:tc>
          <w:tcPr>
            <w:tcW w:w="1256" w:type="pct"/>
            <w:noWrap w:val="0"/>
            <w:vAlign w:val="center"/>
          </w:tcPr>
          <w:p>
            <w:pPr>
              <w:widowControl/>
              <w:spacing w:line="24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kern w:val="0"/>
                <w:sz w:val="24"/>
                <w:szCs w:val="24"/>
              </w:rPr>
              <w:t>48</w:t>
            </w:r>
          </w:p>
        </w:tc>
        <w:tc>
          <w:tcPr>
            <w:tcW w:w="965" w:type="pct"/>
            <w:noWrap w:val="0"/>
            <w:vAlign w:val="center"/>
          </w:tcPr>
          <w:p>
            <w:pPr>
              <w:widowControl/>
              <w:spacing w:line="240" w:lineRule="auto"/>
              <w:ind w:left="0" w:leftChars="0" w:firstLine="0" w:firstLineChars="0"/>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r>
    </w:tbl>
    <w:p>
      <w:pPr>
        <w:spacing w:line="360" w:lineRule="auto"/>
        <w:jc w:val="right"/>
        <w:rPr>
          <w:rFonts w:hint="eastAsia"/>
          <w:szCs w:val="21"/>
        </w:rPr>
      </w:pPr>
      <w:r>
        <w:rPr>
          <w:rFonts w:hint="eastAsia"/>
          <w:sz w:val="21"/>
          <w:szCs w:val="21"/>
        </w:rPr>
        <w:t>（以上内容仅供参考，具体课程以每学期课表为准）</w:t>
      </w:r>
    </w:p>
    <w:p>
      <w:pPr>
        <w:spacing w:line="360" w:lineRule="auto"/>
        <w:rPr>
          <w:rFonts w:hint="eastAsia"/>
          <w:b/>
          <w:kern w:val="0"/>
          <w:sz w:val="28"/>
          <w:szCs w:val="28"/>
        </w:rPr>
      </w:pPr>
    </w:p>
    <w:p>
      <w:pPr>
        <w:pStyle w:val="2"/>
        <w:bidi w:val="0"/>
        <w:rPr>
          <w:rFonts w:hint="eastAsia"/>
        </w:rPr>
      </w:pPr>
      <w:r>
        <w:rPr>
          <w:rFonts w:hint="eastAsia"/>
        </w:rPr>
        <w:t>七、学位授予</w:t>
      </w:r>
    </w:p>
    <w:p>
      <w:pPr>
        <w:bidi w:val="0"/>
        <w:rPr>
          <w:rFonts w:hint="eastAsia"/>
        </w:rPr>
      </w:pPr>
      <w:r>
        <w:rPr>
          <w:rFonts w:hint="eastAsia"/>
        </w:rPr>
        <w:t>学生在规定的时间内完成培养方案要求的学分，完成</w:t>
      </w:r>
      <w:r>
        <w:rPr>
          <w:rFonts w:hint="eastAsia"/>
          <w:lang w:val="en-US" w:eastAsia="zh-CN"/>
        </w:rPr>
        <w:t>毕业作品</w:t>
      </w:r>
      <w:r>
        <w:rPr>
          <w:rFonts w:hint="eastAsia"/>
        </w:rPr>
        <w:t>，通过</w:t>
      </w:r>
      <w:r>
        <w:rPr>
          <w:rFonts w:hint="eastAsia"/>
          <w:lang w:val="en-US" w:eastAsia="zh-CN"/>
        </w:rPr>
        <w:t>毕业</w:t>
      </w:r>
      <w:r>
        <w:rPr>
          <w:rFonts w:hint="eastAsia"/>
        </w:rPr>
        <w:t>答辩，全面审查合格，经院系审查，报校学位委员会审核批准后，授予北京大学艺术硕士专业学位毕业证书和学位证书。</w:t>
      </w:r>
    </w:p>
    <w:p>
      <w:pPr>
        <w:bidi w:val="0"/>
        <w:rPr>
          <w:rFonts w:hint="eastAsia"/>
        </w:rPr>
      </w:pPr>
    </w:p>
    <w:p>
      <w:pPr>
        <w:bidi w:val="0"/>
        <w:jc w:val="right"/>
        <w:rPr>
          <w:rFonts w:hint="eastAsia"/>
        </w:rPr>
      </w:pPr>
      <w:r>
        <w:rPr>
          <w:rFonts w:hint="eastAsia"/>
        </w:rPr>
        <w:t>北京大学艺术学院</w:t>
      </w:r>
    </w:p>
    <w:p>
      <w:pPr>
        <w:bidi w:val="0"/>
        <w:jc w:val="right"/>
        <w:rPr>
          <w:rFonts w:hint="eastAsia"/>
        </w:rPr>
      </w:pPr>
      <w:r>
        <w:rPr>
          <w:rFonts w:hint="eastAsia"/>
        </w:rPr>
        <w:t>20</w:t>
      </w:r>
      <w:r>
        <w:rPr>
          <w:rFonts w:hint="eastAsia"/>
          <w:lang w:val="en-US" w:eastAsia="zh-CN"/>
        </w:rPr>
        <w:t>22</w:t>
      </w:r>
      <w:r>
        <w:rPr>
          <w:rFonts w:hint="eastAsia"/>
        </w:rPr>
        <w:t>年</w:t>
      </w:r>
      <w:r>
        <w:rPr>
          <w:rFonts w:hint="eastAsia"/>
          <w:lang w:val="en-US" w:eastAsia="zh-CN"/>
        </w:rPr>
        <w:t>2</w:t>
      </w:r>
      <w:r>
        <w:rPr>
          <w:rFonts w:hint="eastAsia"/>
        </w:rPr>
        <w:t>月</w:t>
      </w:r>
      <w:r>
        <w:rPr>
          <w:rFonts w:hint="eastAsia"/>
          <w:lang w:val="en-US" w:eastAsia="zh-CN"/>
        </w:rPr>
        <w:t>24</w:t>
      </w:r>
      <w:r>
        <w:rPr>
          <w:rFonts w:hint="eastAsia"/>
        </w:rPr>
        <w:t>日</w:t>
      </w:r>
    </w:p>
    <w:p>
      <w:pPr>
        <w:bidi w:val="0"/>
        <w:jc w:val="right"/>
        <w:rPr>
          <w:rFonts w:hint="eastAsia"/>
        </w:rPr>
      </w:pPr>
    </w:p>
    <w:p>
      <w:pPr>
        <w:rPr>
          <w:rFonts w:hint="eastAsia"/>
        </w:rPr>
      </w:pPr>
    </w:p>
    <w:p>
      <w:pPr>
        <w:rPr>
          <w:rFonts w:hint="eastAsia"/>
        </w:rPr>
      </w:pPr>
    </w:p>
    <w:p>
      <w:pPr>
        <w:pageBreakBefore w:val="0"/>
        <w:kinsoku/>
        <w:wordWrap/>
        <w:overflowPunct/>
        <w:topLinePunct w:val="0"/>
        <w:autoSpaceDE/>
        <w:autoSpaceDN/>
        <w:bidi w:val="0"/>
        <w:adjustRightInd/>
        <w:snapToGrid/>
        <w:ind w:left="0" w:leftChars="0" w:right="0" w:rightChars="0" w:firstLine="0" w:firstLineChars="0"/>
        <w:jc w:val="both"/>
        <w:textAlignment w:val="auto"/>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汉仪中宋简">
    <w:altName w:val="宋体"/>
    <w:panose1 w:val="02010600000101010101"/>
    <w:charset w:val="80"/>
    <w:family w:val="auto"/>
    <w:pitch w:val="default"/>
    <w:sig w:usb0="00000000" w:usb1="00000000" w:usb2="00000012" w:usb3="00000000" w:csb0="0002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uto"/>
      <w:ind w:left="0" w:leftChars="0" w:firstLine="0" w:firstLineChars="0"/>
      <w:jc w:val="both"/>
      <w:rPr>
        <w:rFonts w:hint="eastAsia" w:ascii="汉仪中宋简" w:hAnsi="汉仪中宋简" w:eastAsia="汉仪中宋简" w:cs="汉仪中宋简"/>
        <w:color w:val="FFFFFF"/>
        <w:sz w:val="15"/>
        <w:szCs w:val="15"/>
        <w:lang w:val="en-US" w:eastAsia="zh-Hans"/>
      </w:rPr>
    </w:pPr>
    <w:r>
      <w:rPr>
        <w:rFonts w:hint="eastAsia" w:ascii="汉仪中宋简" w:hAnsi="汉仪中宋简" w:eastAsia="汉仪中宋简" w:cs="汉仪中宋简"/>
        <w:color w:val="9A0000"/>
        <w:sz w:val="15"/>
        <w:szCs w:val="15"/>
        <w:lang w:val="en-US" w:eastAsia="zh-Hans"/>
      </w:rPr>
      <w:drawing>
        <wp:inline distT="0" distB="0" distL="114300" distR="114300">
          <wp:extent cx="5267960" cy="120650"/>
          <wp:effectExtent l="0" t="0" r="0" b="6350"/>
          <wp:docPr id="2" name="图片 2" descr="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下"/>
                  <pic:cNvPicPr>
                    <a:picLocks noChangeAspect="1"/>
                  </pic:cNvPicPr>
                </pic:nvPicPr>
                <pic:blipFill>
                  <a:blip r:embed="rId1"/>
                  <a:srcRect b="78161"/>
                  <a:stretch>
                    <a:fillRect/>
                  </a:stretch>
                </pic:blipFill>
                <pic:spPr>
                  <a:xfrm>
                    <a:off x="0" y="0"/>
                    <a:ext cx="5267960" cy="1206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1"/>
      </w:pBdr>
      <w:kinsoku/>
      <w:wordWrap/>
      <w:overflowPunct/>
      <w:topLinePunct w:val="0"/>
      <w:autoSpaceDE/>
      <w:autoSpaceDN/>
      <w:bidi w:val="0"/>
      <w:adjustRightInd/>
      <w:snapToGrid w:val="0"/>
      <w:spacing w:line="600" w:lineRule="auto"/>
      <w:ind w:left="0" w:leftChars="0" w:right="0" w:rightChars="0" w:firstLine="0" w:firstLineChars="0"/>
      <w:jc w:val="right"/>
      <w:textAlignment w:val="auto"/>
      <w:outlineLvl w:val="9"/>
      <w:rPr>
        <w:rFonts w:hint="eastAsia"/>
        <w:lang w:val="en-US" w:eastAsia="zh-CN"/>
      </w:rPr>
    </w:pPr>
    <w:r>
      <w:rPr>
        <w:rFonts w:hint="default" w:eastAsiaTheme="minorEastAsia"/>
        <w:lang w:val="en-US" w:eastAsia="zh-CN"/>
      </w:rPr>
      <w:drawing>
        <wp:inline distT="0" distB="0" distL="114300" distR="114300">
          <wp:extent cx="2576195" cy="503555"/>
          <wp:effectExtent l="0" t="0" r="0" b="3810"/>
          <wp:docPr id="1" name="图片 1" descr="右上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右上角"/>
                  <pic:cNvPicPr>
                    <a:picLocks noChangeAspect="1"/>
                  </pic:cNvPicPr>
                </pic:nvPicPr>
                <pic:blipFill>
                  <a:blip r:embed="rId1"/>
                  <a:srcRect t="58589" r="23357"/>
                  <a:stretch>
                    <a:fillRect/>
                  </a:stretch>
                </pic:blipFill>
                <pic:spPr>
                  <a:xfrm>
                    <a:off x="0" y="0"/>
                    <a:ext cx="2576195" cy="503555"/>
                  </a:xfrm>
                  <a:prstGeom prst="rect">
                    <a:avLst/>
                  </a:prstGeom>
                </pic:spPr>
              </pic:pic>
            </a:graphicData>
          </a:graphic>
        </wp:inline>
      </w:drawing>
    </w:r>
  </w:p>
  <w:p>
    <w:pPr>
      <w:pStyle w:val="5"/>
      <w:pBdr>
        <w:bottom w:val="none" w:color="auto" w:sz="0" w:space="1"/>
      </w:pBdr>
      <w:snapToGrid w:val="0"/>
      <w:spacing w:line="240" w:lineRule="auto"/>
      <w:jc w:val="right"/>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704649"/>
    <w:multiLevelType w:val="singleLevel"/>
    <w:tmpl w:val="3770464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0424F"/>
    <w:rsid w:val="032418AC"/>
    <w:rsid w:val="067248F9"/>
    <w:rsid w:val="147E4709"/>
    <w:rsid w:val="2F9B5D74"/>
    <w:rsid w:val="3660424F"/>
    <w:rsid w:val="EFFB75BD"/>
    <w:rsid w:val="FF237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720" w:firstLineChars="200"/>
      <w:jc w:val="both"/>
    </w:pPr>
    <w:rPr>
      <w:rFonts w:ascii="Times New Roman" w:hAnsi="Times New Roman" w:eastAsia="仿宋" w:cstheme="minorBidi"/>
      <w:kern w:val="2"/>
      <w:sz w:val="32"/>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仿宋"/>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2022-03-04T00:42:00Z</dcterms:created>
  <dc:creator>Bokhong</dc:creator>
  <cp:lastModifiedBy>Bokhong</cp:lastModifiedBy>
  <dcterms:modified xsi:type="dcterms:W3CDTF">2022-03-03T10:23:03Z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F77371BE52C24E90A3CC1956368A20E2</vt:lpwstr>
  </property>
</Properties>
</file>